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ind w:left="5670"/>
        <w:spacing w:lineRule="auto" w:line="240" w:after="0"/>
        <w:tabs>
          <w:tab w:val="left" w:pos="7088" w:leader="none"/>
        </w:tabs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Додаток 2</w:t>
      </w:r>
      <w:r>
        <w:rPr>
          <w:b w:val="false"/>
        </w:rPr>
      </w:r>
      <w:r/>
    </w:p>
    <w:p>
      <w:pPr>
        <w:ind w:left="5670"/>
        <w:jc w:val="both"/>
        <w:spacing w:lineRule="auto" w:line="240" w:after="0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до рішення ___ сесії восьмого скликання Менської міської ради </w:t>
      </w: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__.__.2022 №___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«Про затвердження Правил розміщення зовнішньої реклами на території Менської міської територіальної громади</w:t>
      </w:r>
      <w:r>
        <w:rPr>
          <w:rFonts w:ascii="Times New Roman" w:hAnsi="Times New Roman" w:cs="Times New Roman"/>
          <w:b w:val="false"/>
          <w:sz w:val="28"/>
          <w:szCs w:val="28"/>
          <w:highlight w:val="none"/>
          <w:lang w:val="uk-UA"/>
        </w:rPr>
        <w:t xml:space="preserve">”</w:t>
      </w:r>
      <w:r>
        <w:rPr>
          <w:rFonts w:ascii="Times New Roman" w:hAnsi="Times New Roman" w:cs="Times New Roman"/>
          <w:b w:val="false"/>
          <w:sz w:val="28"/>
          <w:szCs w:val="28"/>
          <w:highlight w:val="none"/>
          <w:lang w:val="uk-UA"/>
        </w:rPr>
      </w:r>
      <w:r/>
    </w:p>
    <w:p>
      <w:pPr>
        <w:pStyle w:val="846"/>
        <w:ind w:left="5670"/>
        <w:spacing w:lineRule="auto" w:line="240" w:after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46"/>
        <w:ind w:left="0"/>
        <w:jc w:val="center"/>
        <w:spacing w:lineRule="auto" w:line="240" w:after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/>
    </w:p>
    <w:p>
      <w:pPr>
        <w:pStyle w:val="846"/>
        <w:ind w:left="0"/>
        <w:jc w:val="center"/>
        <w:spacing w:lineRule="auto" w:line="240" w:after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розміру плати за тимчасове користування місцем розташування рекламних засобів, що перебуває у комунальній власності Менської міської територіальної громади</w:t>
      </w:r>
      <w:r/>
    </w:p>
    <w:p>
      <w:pPr>
        <w:pStyle w:val="846"/>
        <w:ind w:left="0"/>
        <w:jc w:val="center"/>
        <w:spacing w:lineRule="auto" w:line="240" w:after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за право тимчасового користування місцем для розташування рекламних засобів, що перебуває у комунальній власності, складається з базових тарифів для спеціальних конструкцій зовнішньої реклами, які розміщенні на комунальній власності громади (табл. 1),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коригуючих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коефіцієнтів диференціації базового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тарифу (табл. 2), на які послідовно перемножуєт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ься базовий тариф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846"/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Розмір плати за право тимчасового користування місцем для розташування рекламного засобу розраховується в залежності від площі місця, на якому розташований рекламний засіб.</w:t>
      </w:r>
      <w:r/>
    </w:p>
    <w:p>
      <w:pPr>
        <w:pStyle w:val="846"/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0,5 м за периметром горизонтальної проекції цього засобу.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неназемного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надахового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рекламного засобу площа місця дорівнює площі вертикальної проекції цього засобу на уявну паралельну їй площину.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випадку розміщення спеціальних конструкцій зовнішньої реклами складної конструкції, розрахунок сплачуваної площі ведеться у межах описаного прямокутника (зовнішні габарити).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розрахунку площі рекламного носія плата за неповний квадратний метр береться як за повний.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користування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ісцями для розміщення транспарантів-перетяжок, що встановлюються над проїжджою частиною вулиць та шляхів, а також інших видів тимчасових спеціальних конструкцій, що розміщуються терміном до одного місяця, плата стягується з розрахунку, як за повний місяць.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 ради може щорічно переглядати тарифи на розміщення рекламних засобів у зв’язку з розвитком рекламного ринку у 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із Законом України «Про засади державної регуляторної політики у сфері господарської діяльності».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Розрахункові тарифи не враховують податок на додану вартість (20%), які мають бути обчислені додатково, відповідно до чинного законодавства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Розповсюджувач зовнішньої реклами не звільняється від плати за право тимчасового використання місця для розташування об’єктів зовнішньої реклами за відсутності рекламних конструкцій.</w:t>
      </w:r>
      <w:r/>
    </w:p>
    <w:p>
      <w:pPr>
        <w:pStyle w:val="846"/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цьому випадку розмір плати визначається відповідно до пункту 1 Порядку визначення розміру плати за тимчасове користування місцем розташування рекламних засобів, що перебуває у комунальній власності.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Оплата згідно з розрахунковими тарифами плати за тимчасове користування місцем розташування рекламних засобів, що перебуває у комунальній власності, які затверджуються виконавчим органом ради, 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ідповідності з умовами договору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перераховується суб’єктами рекламної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розмірі 100% до міського бюджету.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Плата за право тимчасового використання місць для розташування об’єкту зовнішньої реклами перераховується розповсюджувачем зовнішньої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реклами до міського бюджету щомісячно, до 10 числа місяця наступного за звітним.</w:t>
      </w:r>
      <w:r/>
    </w:p>
    <w:p>
      <w:pPr>
        <w:pStyle w:val="846"/>
        <w:numPr>
          <w:ilvl w:val="0"/>
          <w:numId w:val="2"/>
        </w:numPr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Плата, перерахована несвоєчасно або не в повному обсязі, підлягає індексації відповідно до законодавства України.</w:t>
      </w:r>
      <w:r/>
    </w:p>
    <w:p>
      <w:pPr>
        <w:pStyle w:val="846"/>
        <w:ind w:left="0" w:firstLine="567"/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Табл. 1</w:t>
      </w:r>
      <w:r/>
    </w:p>
    <w:tbl>
      <w:tblPr>
        <w:tblStyle w:val="85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3"/>
        <w:gridCol w:w="1134"/>
        <w:gridCol w:w="1243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№ п/</w:t>
            </w: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п</w:t>
            </w:r>
            <w:r>
              <w:rPr>
                <w:sz w:val="18"/>
              </w:rPr>
            </w:r>
            <w:r/>
          </w:p>
        </w:tc>
        <w:tc>
          <w:tcPr>
            <w:tcW w:w="6803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Вид спеціальної конструкції </w:t>
            </w:r>
            <w:r>
              <w:rPr>
                <w:sz w:val="18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Одиниця виміру</w:t>
            </w:r>
            <w:r>
              <w:rPr>
                <w:sz w:val="18"/>
              </w:rPr>
            </w:r>
            <w:r/>
          </w:p>
        </w:tc>
        <w:tc>
          <w:tcPr>
            <w:tcW w:w="1243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Місячна</w:t>
            </w: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 плата, </w:t>
            </w: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грн</w:t>
            </w:r>
            <w:r>
              <w:rPr>
                <w:sz w:val="18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Щит (спеціальна наземна конструкція), що стоїть окремо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Щит (спеціальна конструкція) на фасаді або торці будинку (будівлі)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Щит на тимчасовій споруді, паркані, буд майданчиках, стовпах, опорах, колонах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Лайтпостер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стоїть окремо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Лайтпостер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стовпах, опорах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Лайтпостер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є складовою частини павільйону очікування громадського транспорту, кіоску, фасаду або торця будинку (будівлі)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Банер, панно,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фасаді або торці будинку (будівлі) на паркані, на захисній будівельній сітці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Конструкція розміщена на кронштейнах</w:t>
            </w:r>
            <w:r/>
          </w:p>
          <w:p>
            <w:pPr>
              <w:pStyle w:val="846"/>
              <w:numPr>
                <w:ilvl w:val="0"/>
                <w:numId w:val="3"/>
              </w:numPr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фасаді або торці будинку (будівлі)</w:t>
            </w:r>
            <w:r/>
          </w:p>
          <w:p>
            <w:pPr>
              <w:pStyle w:val="846"/>
              <w:numPr>
                <w:ilvl w:val="0"/>
                <w:numId w:val="3"/>
              </w:numPr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стовпах, опорах, колонах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Тумба, об’ємно-просторова конструкція, інформаційно-цінові покажчики, що стоять окремо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Електронне табло, «рядок, що біжить»,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екрани, світова газета,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лайт-бокс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розташовані на стовпах, опорах, на фасаді та торці будинку (будівлі), або є складовою частиною фасаду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</w:tbl>
    <w:tbl>
      <w:tblPr>
        <w:tblStyle w:val="85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3"/>
        <w:gridCol w:w="1134"/>
        <w:gridCol w:w="1243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Світлові художньо-просторові рекламні композиції (неон, світловий шнур)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Конструкції на даху будинку (будівлі), споруди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Рекламна вивіска, напис на будинку (будівлі), споруді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Пневмостенд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повітряна куля, які використовуються як рекламоносії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>
              <w:rPr>
                <w:sz w:val="18"/>
              </w:rPr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Транспаранти-перетяжки,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троли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</w:r>
            <w:r>
              <w:rPr>
                <w:sz w:val="18"/>
              </w:rPr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Телефонні кабіни, урни, інші об’єкти зовнішнього благоустрою, які використовуються як рекламо носії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>
              <w:rPr>
                <w:sz w:val="18"/>
              </w:rPr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Прапор, парасоля, намет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які використовуються як рекламо носії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>
              <w:rPr>
                <w:sz w:val="18"/>
              </w:rPr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Аудіо-рекламна акція з використанням міського середовища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>
              <w:rPr>
                <w:sz w:val="18"/>
              </w:rPr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Рекламні акції з демонстрацією зразків продукції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>
              <w:rPr>
                <w:sz w:val="18"/>
              </w:rPr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Тимчасова виносна спеціальна конструкція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>
              <w:rPr>
                <w:sz w:val="18"/>
              </w:rPr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Концертна, театральна, гастрольна зовнішня рекламна та реклама виставок товарів та послуг і тому подібне</w:t>
            </w:r>
            <w:r/>
          </w:p>
          <w:p>
            <w:pPr>
              <w:pStyle w:val="846"/>
              <w:numPr>
                <w:ilvl w:val="0"/>
                <w:numId w:val="3"/>
              </w:numPr>
              <w:ind w:left="34" w:firstLine="326"/>
              <w:jc w:val="both"/>
              <w:tabs>
                <w:tab w:val="left" w:pos="604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щитова, банери, перетяжки на фасаді будинків (будівель), на опорах, стовпах, парканах</w:t>
            </w:r>
            <w:r/>
          </w:p>
          <w:p>
            <w:pPr>
              <w:pStyle w:val="846"/>
              <w:numPr>
                <w:ilvl w:val="0"/>
                <w:numId w:val="3"/>
              </w:numPr>
              <w:ind w:left="34" w:firstLine="326"/>
              <w:jc w:val="both"/>
              <w:tabs>
                <w:tab w:val="left" w:pos="604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афіші</w:t>
            </w:r>
            <w:r/>
          </w:p>
          <w:p>
            <w:pPr>
              <w:pStyle w:val="846"/>
              <w:numPr>
                <w:ilvl w:val="0"/>
                <w:numId w:val="3"/>
              </w:numPr>
              <w:ind w:left="34" w:firstLine="326"/>
              <w:jc w:val="both"/>
              <w:tabs>
                <w:tab w:val="left" w:pos="604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об’яви та оголошення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2</w:t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>
              <w:rPr>
                <w:sz w:val="18"/>
              </w:rPr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uk-UA"/>
              </w:rPr>
              <w:t xml:space="preserve">За одиницю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</w:t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</w:t>
            </w:r>
            <w:r/>
          </w:p>
        </w:tc>
        <w:tc>
          <w:tcPr>
            <w:tcW w:w="680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Графічна (лазерна) проекційна установка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одиницю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1250</w:t>
            </w:r>
            <w:r/>
          </w:p>
        </w:tc>
      </w:tr>
    </w:tbl>
    <w:p>
      <w:pPr>
        <w:pStyle w:val="846"/>
        <w:ind w:left="0" w:firstLine="567"/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Табл. 2</w:t>
      </w:r>
      <w:r/>
    </w:p>
    <w:tbl>
      <w:tblPr>
        <w:tblStyle w:val="85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7"/>
        <w:gridCol w:w="1243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0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№ п/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п</w:t>
            </w:r>
            <w:r>
              <w:rPr>
                <w:sz w:val="16"/>
              </w:rPr>
            </w:r>
            <w:r/>
          </w:p>
        </w:tc>
        <w:tc>
          <w:tcPr>
            <w:tcW w:w="7937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0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Зміст 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коригуючих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обставин</w:t>
            </w:r>
            <w:r>
              <w:rPr>
                <w:sz w:val="16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1243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0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Коефіцієнт</w:t>
            </w:r>
            <w:r>
              <w:rPr>
                <w:sz w:val="16"/>
              </w:rPr>
            </w:r>
            <w:r/>
          </w:p>
        </w:tc>
      </w:tr>
      <w:tr>
        <w:trPr/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Borders>
              <w:bottom w:val="none" w:color="000000" w:sz="4" w:space="0"/>
            </w:tcBorders>
            <w:tcW w:w="7937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залежності від місць розташування:</w:t>
            </w:r>
            <w:r/>
          </w:p>
        </w:tc>
        <w:tc>
          <w:tcPr>
            <w:tcBorders>
              <w:bottom w:val="non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937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Зона 1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вулиці, чере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які пролягає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національн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авто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мобільна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доро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га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загального користування державного значення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Н-27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Чернігів-Мена-Сосниця-Грем’яч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1,5</w:t>
            </w:r>
            <w:r/>
          </w:p>
        </w:tc>
      </w:tr>
      <w:tr>
        <w:trPr/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7937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Зона 2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території вулиць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пролягає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територіальн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і авто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мобільні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дороги загального користування державного значення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Т-25-34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fill="FFFFFF" w:color="auto"/>
                <w:lang w:val="uk-UA"/>
              </w:rPr>
              <w:t xml:space="preserve"> та Т-25-36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1,2</w:t>
            </w:r>
            <w:r/>
          </w:p>
        </w:tc>
      </w:tr>
      <w:tr>
        <w:trPr/>
        <w:tc>
          <w:tcPr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7937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Зона 3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території вулиць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не увійшли до зон 1 та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місті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Мена</w:t>
            </w:r>
            <w:r/>
          </w:p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Зона 4 - території вулиць, що не увійшли до зон 1 та 2 в сільських/селищних населених пунктах</w:t>
            </w:r>
            <w:r/>
          </w:p>
        </w:tc>
        <w:tc>
          <w:tcPr>
            <w:tcBorders>
              <w:top w:val="non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1,0</w:t>
            </w:r>
            <w:r/>
          </w:p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0,8</w:t>
            </w:r>
            <w:r/>
          </w:p>
        </w:tc>
      </w:tr>
    </w:tbl>
    <w:tbl>
      <w:tblPr>
        <w:tblStyle w:val="85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7"/>
        <w:gridCol w:w="1243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7937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неосвітлених засобів зовнішньої реклами до пунктів 1,2,3,8,9,12,13 таблиці 1</w:t>
            </w:r>
            <w:r/>
          </w:p>
        </w:tc>
        <w:tc>
          <w:tcPr>
            <w:tcW w:w="1243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1,5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  <w:tc>
          <w:tcPr>
            <w:tcW w:w="7937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соціальної реклами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0,5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  <w:tc>
          <w:tcPr>
            <w:tcW w:w="7937" w:type="dxa"/>
            <w:textDirection w:val="lrTb"/>
            <w:noWrap w:val="false"/>
          </w:tcPr>
          <w:p>
            <w:pPr>
              <w:pStyle w:val="846"/>
              <w:ind w:left="0"/>
              <w:jc w:val="both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рекламної продукції місцевого виробника</w:t>
            </w:r>
            <w:r/>
          </w:p>
        </w:tc>
        <w:tc>
          <w:tcPr>
            <w:tcW w:w="1243" w:type="dxa"/>
            <w:textDirection w:val="lrTb"/>
            <w:noWrap w:val="false"/>
          </w:tcPr>
          <w:p>
            <w:pPr>
              <w:pStyle w:val="846"/>
              <w:ind w:left="0"/>
              <w:jc w:val="center"/>
              <w:tabs>
                <w:tab w:val="left" w:pos="993" w:leader="none"/>
                <w:tab w:val="left" w:pos="7088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0,7</w:t>
            </w:r>
            <w:r/>
          </w:p>
        </w:tc>
      </w:tr>
    </w:tbl>
    <w:p>
      <w:pPr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спеціаліст, в.о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архітектури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 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7088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Андрій ЮЩЕНКО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6" w:bottom="1134" w:left="1701" w:header="56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01919442"/>
      <w:docPartObj>
        <w:docPartGallery w:val="Page Numbers (Top of Page)"/>
        <w:docPartUnique w:val="true"/>
      </w:docPartObj>
      <w:rPr/>
    </w:sdtPr>
    <w:sdtContent>
      <w:p>
        <w:pPr>
          <w:pStyle w:val="849"/>
          <w:ind w:firstLine="4678"/>
          <w:tabs>
            <w:tab w:val="clear" w:pos="4677" w:leader="none"/>
            <w:tab w:val="left" w:pos="4678" w:leader="none"/>
            <w:tab w:val="left" w:pos="7088" w:leader="none"/>
          </w:tabs>
        </w:pPr>
        <w:r>
          <w:fldChar w:fldCharType="begin"/>
        </w:r>
        <w:r>
          <w:instrText xml:space="preserve">PAGE   \* MERGEFORMAT</w:instrText>
        </w:r>
        <w:r>
          <w:rPr>
            <w:i/>
            <w:sz w:val="24"/>
          </w:rPr>
          <w:fldChar w:fldCharType="separate"/>
        </w:r>
        <w:r>
          <w:rPr>
            <w:i/>
            <w:sz w:val="24"/>
          </w:rPr>
          <w:t xml:space="preserve">4</w:t>
        </w:r>
        <w:r>
          <w:rPr>
            <w:i/>
            <w:sz w:val="24"/>
          </w:rPr>
          <w:fldChar w:fldCharType="end"/>
        </w:r>
        <w:r>
          <w:rPr>
            <w:i/>
            <w:sz w:val="24"/>
            <w:lang w:val="uk-UA"/>
          </w:rPr>
          <w:t xml:space="preserve"> </w:t>
        </w:r>
        <w:r>
          <w:rPr>
            <w:i/>
            <w:sz w:val="24"/>
            <w:lang w:val="uk-UA"/>
          </w:rPr>
          <w:tab/>
        </w:r>
        <w:r>
          <w:rPr>
            <w:rFonts w:ascii="Times New Roman" w:hAnsi="Times New Roman" w:cs="Times New Roman"/>
            <w:i/>
            <w:sz w:val="24"/>
            <w:szCs w:val="24"/>
            <w:lang w:val="uk-UA"/>
          </w:rPr>
          <w:t xml:space="preserve">Про</w:t>
        </w:r>
        <w:r>
          <w:rPr>
            <w:rFonts w:ascii="Times New Roman" w:hAnsi="Times New Roman" w:cs="Times New Roman"/>
            <w:i/>
            <w:sz w:val="24"/>
            <w:szCs w:val="24"/>
            <w:lang w:val="uk-UA"/>
          </w:rPr>
          <w:t xml:space="preserve">довження додатка</w:t>
        </w:r>
        <w:r/>
      </w:p>
    </w:sdtContent>
  </w:sdt>
  <w:p>
    <w:pPr>
      <w:pStyle w:val="84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1"/>
    <w:next w:val="841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9">
    <w:name w:val="Heading 1 Char"/>
    <w:basedOn w:val="843"/>
    <w:link w:val="668"/>
    <w:uiPriority w:val="9"/>
    <w:rPr>
      <w:rFonts w:ascii="Arial" w:hAnsi="Arial" w:cs="Arial" w:eastAsia="Arial"/>
      <w:sz w:val="40"/>
      <w:szCs w:val="40"/>
    </w:rPr>
  </w:style>
  <w:style w:type="paragraph" w:styleId="670">
    <w:name w:val="Heading 2"/>
    <w:basedOn w:val="841"/>
    <w:next w:val="841"/>
    <w:link w:val="6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1">
    <w:name w:val="Heading 2 Char"/>
    <w:basedOn w:val="843"/>
    <w:link w:val="670"/>
    <w:uiPriority w:val="9"/>
    <w:rPr>
      <w:rFonts w:ascii="Arial" w:hAnsi="Arial" w:cs="Arial" w:eastAsia="Arial"/>
      <w:sz w:val="34"/>
    </w:rPr>
  </w:style>
  <w:style w:type="character" w:styleId="672">
    <w:name w:val="Heading 3 Char"/>
    <w:basedOn w:val="843"/>
    <w:link w:val="842"/>
    <w:uiPriority w:val="9"/>
    <w:rPr>
      <w:rFonts w:ascii="Arial" w:hAnsi="Arial" w:cs="Arial" w:eastAsia="Arial"/>
      <w:sz w:val="30"/>
      <w:szCs w:val="30"/>
    </w:rPr>
  </w:style>
  <w:style w:type="paragraph" w:styleId="673">
    <w:name w:val="Heading 4"/>
    <w:basedOn w:val="841"/>
    <w:next w:val="841"/>
    <w:link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4">
    <w:name w:val="Heading 4 Char"/>
    <w:basedOn w:val="843"/>
    <w:link w:val="673"/>
    <w:uiPriority w:val="9"/>
    <w:rPr>
      <w:rFonts w:ascii="Arial" w:hAnsi="Arial" w:cs="Arial" w:eastAsia="Arial"/>
      <w:b/>
      <w:bCs/>
      <w:sz w:val="26"/>
      <w:szCs w:val="26"/>
    </w:rPr>
  </w:style>
  <w:style w:type="paragraph" w:styleId="675">
    <w:name w:val="Heading 5"/>
    <w:basedOn w:val="841"/>
    <w:next w:val="841"/>
    <w:link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6">
    <w:name w:val="Heading 5 Char"/>
    <w:basedOn w:val="843"/>
    <w:link w:val="675"/>
    <w:uiPriority w:val="9"/>
    <w:rPr>
      <w:rFonts w:ascii="Arial" w:hAnsi="Arial" w:cs="Arial" w:eastAsia="Arial"/>
      <w:b/>
      <w:bCs/>
      <w:sz w:val="24"/>
      <w:szCs w:val="24"/>
    </w:rPr>
  </w:style>
  <w:style w:type="paragraph" w:styleId="677">
    <w:name w:val="Heading 6"/>
    <w:basedOn w:val="841"/>
    <w:next w:val="841"/>
    <w:link w:val="6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8">
    <w:name w:val="Heading 6 Char"/>
    <w:basedOn w:val="843"/>
    <w:link w:val="677"/>
    <w:uiPriority w:val="9"/>
    <w:rPr>
      <w:rFonts w:ascii="Arial" w:hAnsi="Arial" w:cs="Arial" w:eastAsia="Arial"/>
      <w:b/>
      <w:bCs/>
      <w:sz w:val="22"/>
      <w:szCs w:val="22"/>
    </w:rPr>
  </w:style>
  <w:style w:type="paragraph" w:styleId="679">
    <w:name w:val="Heading 7"/>
    <w:basedOn w:val="841"/>
    <w:next w:val="841"/>
    <w:link w:val="6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0">
    <w:name w:val="Heading 7 Char"/>
    <w:basedOn w:val="843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1">
    <w:name w:val="Heading 8"/>
    <w:basedOn w:val="841"/>
    <w:next w:val="841"/>
    <w:link w:val="6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2">
    <w:name w:val="Heading 8 Char"/>
    <w:basedOn w:val="843"/>
    <w:link w:val="681"/>
    <w:uiPriority w:val="9"/>
    <w:rPr>
      <w:rFonts w:ascii="Arial" w:hAnsi="Arial" w:cs="Arial" w:eastAsia="Arial"/>
      <w:i/>
      <w:iCs/>
      <w:sz w:val="22"/>
      <w:szCs w:val="22"/>
    </w:rPr>
  </w:style>
  <w:style w:type="paragraph" w:styleId="683">
    <w:name w:val="Heading 9"/>
    <w:basedOn w:val="841"/>
    <w:next w:val="841"/>
    <w:link w:val="6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>
    <w:name w:val="Heading 9 Char"/>
    <w:basedOn w:val="843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85">
    <w:name w:val="No Spacing"/>
    <w:qFormat/>
    <w:uiPriority w:val="1"/>
    <w:pPr>
      <w:spacing w:lineRule="auto" w:line="240" w:after="0" w:before="0"/>
    </w:pPr>
  </w:style>
  <w:style w:type="paragraph" w:styleId="686">
    <w:name w:val="Title"/>
    <w:basedOn w:val="841"/>
    <w:next w:val="841"/>
    <w:link w:val="68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7">
    <w:name w:val="Title Char"/>
    <w:basedOn w:val="843"/>
    <w:link w:val="686"/>
    <w:uiPriority w:val="10"/>
    <w:rPr>
      <w:sz w:val="48"/>
      <w:szCs w:val="48"/>
    </w:rPr>
  </w:style>
  <w:style w:type="paragraph" w:styleId="688">
    <w:name w:val="Subtitle"/>
    <w:basedOn w:val="841"/>
    <w:next w:val="841"/>
    <w:link w:val="689"/>
    <w:qFormat/>
    <w:uiPriority w:val="11"/>
    <w:rPr>
      <w:sz w:val="24"/>
      <w:szCs w:val="24"/>
    </w:rPr>
    <w:pPr>
      <w:spacing w:after="200" w:before="200"/>
    </w:pPr>
  </w:style>
  <w:style w:type="character" w:styleId="689">
    <w:name w:val="Subtitle Char"/>
    <w:basedOn w:val="843"/>
    <w:link w:val="688"/>
    <w:uiPriority w:val="11"/>
    <w:rPr>
      <w:sz w:val="24"/>
      <w:szCs w:val="24"/>
    </w:rPr>
  </w:style>
  <w:style w:type="paragraph" w:styleId="690">
    <w:name w:val="Quote"/>
    <w:basedOn w:val="841"/>
    <w:next w:val="841"/>
    <w:link w:val="691"/>
    <w:qFormat/>
    <w:uiPriority w:val="29"/>
    <w:rPr>
      <w:i/>
    </w:rPr>
    <w:pPr>
      <w:ind w:left="720" w:right="720"/>
    </w:p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1"/>
    <w:next w:val="841"/>
    <w:link w:val="69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3">
    <w:name w:val="Intense Quote Char"/>
    <w:link w:val="692"/>
    <w:uiPriority w:val="30"/>
    <w:rPr>
      <w:i/>
    </w:rPr>
  </w:style>
  <w:style w:type="character" w:styleId="694">
    <w:name w:val="Header Char"/>
    <w:basedOn w:val="843"/>
    <w:link w:val="849"/>
    <w:uiPriority w:val="99"/>
  </w:style>
  <w:style w:type="character" w:styleId="695">
    <w:name w:val="Footer Char"/>
    <w:basedOn w:val="843"/>
    <w:link w:val="851"/>
    <w:uiPriority w:val="99"/>
  </w:style>
  <w:style w:type="paragraph" w:styleId="696">
    <w:name w:val="Caption"/>
    <w:basedOn w:val="841"/>
    <w:next w:val="8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7">
    <w:name w:val="Caption Char"/>
    <w:basedOn w:val="696"/>
    <w:link w:val="851"/>
    <w:uiPriority w:val="99"/>
  </w:style>
  <w:style w:type="table" w:styleId="698">
    <w:name w:val="Table Grid Light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84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4">
    <w:name w:val="Grid Table 1 Light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4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>
    <w:name w:val="Grid Table 4 - Accent 1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7">
    <w:name w:val="Grid Table 4 - Accent 2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8">
    <w:name w:val="Grid Table 4 - Accent 3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9">
    <w:name w:val="Grid Table 4 - Accent 4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0">
    <w:name w:val="Grid Table 4 - Accent 5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1">
    <w:name w:val="Grid Table 4 - Accent 6"/>
    <w:basedOn w:val="84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2">
    <w:name w:val="Grid Table 5 Dark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6">
    <w:name w:val="Grid Table 5 Dark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8">
    <w:name w:val="Grid Table 5 Dark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9">
    <w:name w:val="Grid Table 6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1">
    <w:name w:val="List Table 2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2">
    <w:name w:val="List Table 2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3">
    <w:name w:val="List Table 2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4">
    <w:name w:val="List Table 2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5">
    <w:name w:val="List Table 2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6">
    <w:name w:val="List Table 2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7">
    <w:name w:val="List Table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9">
    <w:name w:val="List Table 6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0">
    <w:name w:val="List Table 6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1">
    <w:name w:val="List Table 6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2">
    <w:name w:val="List Table 6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3">
    <w:name w:val="List Table 6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4">
    <w:name w:val="List Table 6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5">
    <w:name w:val="List Table 7 Colorful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7">
    <w:name w:val="List Table 7 Colorful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8">
    <w:name w:val="List Table 7 Colorful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9">
    <w:name w:val="List Table 7 Colorful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0">
    <w:name w:val="List Table 7 Colorful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1">
    <w:name w:val="List Table 7 Colorful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2">
    <w:name w:val="Lined - Accent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3">
    <w:name w:val="Lined - Accent 1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4">
    <w:name w:val="Lined - Accent 2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5">
    <w:name w:val="Lined - Accent 3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6">
    <w:name w:val="Lined - Accent 4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7">
    <w:name w:val="Lined - Accent 5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8">
    <w:name w:val="Lined - Accent 6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9">
    <w:name w:val="Bordered &amp; Lined - Accent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0">
    <w:name w:val="Bordered &amp; Lined - Accent 1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1">
    <w:name w:val="Bordered &amp; Lined - Accent 2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2">
    <w:name w:val="Bordered &amp; Lined - Accent 3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3">
    <w:name w:val="Bordered &amp; Lined - Accent 4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4">
    <w:name w:val="Bordered &amp; Lined - Accent 5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5">
    <w:name w:val="Bordered &amp; Lined - Accent 6"/>
    <w:basedOn w:val="84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6">
    <w:name w:val="Bordered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7">
    <w:name w:val="Bordered - Accent 1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8">
    <w:name w:val="Bordered - Accent 2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9">
    <w:name w:val="Bordered - Accent 3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0">
    <w:name w:val="Bordered - Accent 4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1">
    <w:name w:val="Bordered - Accent 5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2">
    <w:name w:val="Bordered - Accent 6"/>
    <w:basedOn w:val="84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841"/>
    <w:link w:val="825"/>
    <w:uiPriority w:val="99"/>
    <w:semiHidden/>
    <w:unhideWhenUsed/>
    <w:rPr>
      <w:sz w:val="18"/>
    </w:rPr>
    <w:pPr>
      <w:spacing w:lineRule="auto" w:line="240" w:after="40"/>
    </w:p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basedOn w:val="843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rPr>
      <w:sz w:val="20"/>
    </w:rPr>
    <w:pPr>
      <w:spacing w:lineRule="auto" w:line="240" w:after="0"/>
    </w:p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43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</w:style>
  <w:style w:type="paragraph" w:styleId="842">
    <w:name w:val="Heading 3"/>
    <w:basedOn w:val="841"/>
    <w:link w:val="847"/>
    <w:qFormat/>
    <w:uiPriority w:val="99"/>
    <w:semiHidden/>
    <w:unhideWhenUsed/>
    <w:rPr>
      <w:rFonts w:ascii="Times New Roman" w:hAnsi="Times New Roman" w:cs="Times New Roman" w:eastAsia="Times New Roman"/>
      <w:b/>
      <w:bCs/>
      <w:sz w:val="27"/>
      <w:szCs w:val="27"/>
      <w:lang w:eastAsia="ru-RU"/>
    </w:rPr>
    <w:pPr>
      <w:spacing w:lineRule="auto" w:line="240" w:after="100" w:afterAutospacing="1" w:before="100" w:beforeAutospacing="1"/>
      <w:outlineLvl w:val="2"/>
    </w:pPr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>
    <w:name w:val="List Paragraph"/>
    <w:basedOn w:val="841"/>
    <w:qFormat/>
    <w:uiPriority w:val="34"/>
    <w:pPr>
      <w:contextualSpacing w:val="true"/>
      <w:ind w:left="720"/>
    </w:pPr>
  </w:style>
  <w:style w:type="character" w:styleId="847" w:customStyle="1">
    <w:name w:val="Заголовок 3 Знак"/>
    <w:basedOn w:val="843"/>
    <w:link w:val="842"/>
    <w:uiPriority w:val="99"/>
    <w:semiHidden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paragraph" w:styleId="848">
    <w:name w:val="Normal (Web)"/>
    <w:basedOn w:val="841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49">
    <w:name w:val="Header"/>
    <w:basedOn w:val="841"/>
    <w:link w:val="85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0" w:customStyle="1">
    <w:name w:val="Верхний колонтитул Знак"/>
    <w:basedOn w:val="843"/>
    <w:link w:val="849"/>
    <w:uiPriority w:val="99"/>
  </w:style>
  <w:style w:type="paragraph" w:styleId="851">
    <w:name w:val="Footer"/>
    <w:basedOn w:val="841"/>
    <w:link w:val="85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2" w:customStyle="1">
    <w:name w:val="Нижний колонтитул Знак"/>
    <w:basedOn w:val="843"/>
    <w:link w:val="851"/>
    <w:uiPriority w:val="99"/>
  </w:style>
  <w:style w:type="table" w:styleId="853">
    <w:name w:val="Table Grid"/>
    <w:basedOn w:val="84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Anonymous</cp:lastModifiedBy>
  <cp:revision>15</cp:revision>
  <dcterms:created xsi:type="dcterms:W3CDTF">2021-11-09T08:01:00Z</dcterms:created>
  <dcterms:modified xsi:type="dcterms:W3CDTF">2021-11-30T13:04:24Z</dcterms:modified>
</cp:coreProperties>
</file>